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F" w:rsidRPr="00967F9F" w:rsidRDefault="00967F9F" w:rsidP="00967F9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47A5" w:rsidRDefault="00B547A5" w:rsidP="00B547A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8"/>
          <w:szCs w:val="28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8"/>
          <w:szCs w:val="28"/>
        </w:rPr>
        <w:t>«Ознакомление с предметным и социальным окружением»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методических рекомендаций </w:t>
      </w:r>
      <w:r>
        <w:rPr>
          <w:rFonts w:ascii="Times New Roman" w:eastAsia="Calibri" w:hAnsi="Times New Roman" w:cs="Times New Roman"/>
          <w:sz w:val="28"/>
          <w:szCs w:val="28"/>
        </w:rPr>
        <w:t>Дыбиной О.В.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Принципы: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•соответствует принципу развивающего образования, целью которого является развитие ребенка;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•сочетает принципы научной обоснованности и практической применимости;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•соответствует критериям полноты, необходимости и достаточности;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•обеспечивает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•строится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•основывается на комплексно-тематическом принципе построения образовательного процесса;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•предусматривает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•предполагает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B547A5" w:rsidRDefault="00B547A5" w:rsidP="00B54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Цели:</w:t>
      </w: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условия для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приобщения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среднего дошкольного возраста к социально-культурным ценностям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Задачи: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Рассказывать детям о материалах, из которых сделаны предметы, об их свойствах и качествах.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Помогать устанавливать связь между назначением и строением, назначением и материалом предметов.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Расширять знания детей об общественном транспорте (автобус, поезд, самолет, теплоход).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Расширять представления о правилах поведения в общественных местах.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Формировать первичные представления о школе.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Через проектную деятельность, экскурсии, игры, произведения литературы продолжать знакомство с культурными явлениями (театром, цирком, зоопарком, вернисажем), их атрибутами, людьми, работающими в них, правилами поведения.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Дать элементарные представления о жизни и особенностях труда в городе и в сельской местности с опорой на опыт детей.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Расширять представления о профессиях.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Познакомить детей с деньгами, возможностями их использования. </w:t>
      </w:r>
    </w:p>
    <w:p w:rsidR="00B547A5" w:rsidRDefault="00B547A5" w:rsidP="00B547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Формы реализации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средней группе детского сада 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предметным и социальным окружением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проводится как в форме игр-занятий, так и в форме дидактической игры, в которой игровое правило регулирует действия и взаимоотношения детей, а правильное решение задач обеспечивает достижение цели игры. При организации и проведении игр-занятий, дидактических игр важно создать атмосферу, позволяющую каждому ребенку реализовать свою активность по отношению к окружающему миру.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Условия реализации рабочей программы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образовательная деятельность (НОД) начинается с 9.10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1,3неделя).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НОД в средней  группе – 15-20 минут.</w:t>
      </w:r>
    </w:p>
    <w:p w:rsidR="00B547A5" w:rsidRDefault="00B547A5" w:rsidP="00B54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47A5" w:rsidRDefault="00B547A5" w:rsidP="00B54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Материально-техническое обеспечение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Методическая литература для педагога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1.Программа «От рождения до школы »(под ред. Н.Е Вераксы, Т.С Комаровой, М, А Васильевой.), Мозайка-синтез Москва 2014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Дыбина. О.В.Ознакомление с предметным и социальным окружением: Среднняя группа(4-5 лет.) Мозайка-синтез Москва 2014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lastRenderedPageBreak/>
        <w:t>Электронные образовательные ресурсы (ЭОР)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Дыбина  О.В.Ознакомление с предметным и социальным окружением: Средняя группа(4-5 лет.)</w:t>
      </w:r>
    </w:p>
    <w:p w:rsidR="00B547A5" w:rsidRDefault="00B547A5" w:rsidP="00B54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Наглядно-дидактические пособия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Серия «Мир в картинках» (предметный мир)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«Авиация»; « Автомобильный транспорт», «Морские обитатели»; «Рептилии и амфибии», «Музыкальные инструменты» «Инструменты домашнего мастера»  «Бытовая техника». «Спортивный инвентарь» , «Ягоды садовые», «Ягоды лесные», «Домашние животные», «Домашние птицы», «Животные — домашние питомцы», «Собаки—друзья и помощники», «Школьные принадлежности», «День Победы.», «Животные жарких стран», «Животные средней полосы», «Насекомые», «Высоко в горах», «Арктика и Антарктика», «Деревья и листья.», «Посуда.», «Овощи», «Фрукты», «Цветы», «Герои сказок», «Космос.»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Водный транспорт. — М.: Мозаика-Синтез, 2012.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Серия наглядно-дидактических пособий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«Рассказы по картинкам»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Времена года. — М.: Мозаика-Синтез, 20052010.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«Зима», «Осень.» ,«Весна.» «Лето.» -М.: Мозаика-Синтез, 2012.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«Колобок», «Курочка Ряба», «Репка», «Теремок» — М.: Мозаика-Синтез, 2012. </w:t>
      </w:r>
    </w:p>
    <w:p w:rsidR="00B547A5" w:rsidRDefault="00B547A5" w:rsidP="00B547A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«Зимние виды спорта», «Летние виды спорта», «Распорядок дня», «Великая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Отечественная война в произведениях художников. — М.; Мозаика-Синтез, 2012.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«Защитники Отечества», «Кем быть», «Профессии», «Мой дом». 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«Родная природа», «В деревне» — М.: Мозаика-Синтез,2012</w:t>
      </w:r>
    </w:p>
    <w:p w:rsid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Плакаты большого формата </w:t>
      </w: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«Овощи»  М.: Мозаика-Синтез, 2010. </w:t>
      </w:r>
    </w:p>
    <w:p w:rsid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«Фрукты»  — М.: Мозаика-Синтез, 2010. </w:t>
      </w:r>
    </w:p>
    <w:p w:rsidR="00A93B16" w:rsidRPr="00967F9F" w:rsidRDefault="00A93B16" w:rsidP="00B547A5">
      <w:pPr>
        <w:rPr>
          <w:rFonts w:ascii="Times New Roman" w:hAnsi="Times New Roman" w:cs="Times New Roman"/>
          <w:sz w:val="24"/>
          <w:szCs w:val="24"/>
        </w:rPr>
      </w:pPr>
    </w:p>
    <w:sectPr w:rsidR="00A93B16" w:rsidRPr="00967F9F" w:rsidSect="006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277852EA"/>
    <w:multiLevelType w:val="hybridMultilevel"/>
    <w:tmpl w:val="1E1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7F9F"/>
    <w:rsid w:val="006608C6"/>
    <w:rsid w:val="00967F9F"/>
    <w:rsid w:val="00A93B16"/>
    <w:rsid w:val="00B5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7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4644</Characters>
  <Application>Microsoft Office Word</Application>
  <DocSecurity>0</DocSecurity>
  <Lines>38</Lines>
  <Paragraphs>10</Paragraphs>
  <ScaleCrop>false</ScaleCrop>
  <Company>МБДОУ 56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2019-10-04T16:41:00Z</dcterms:created>
  <dcterms:modified xsi:type="dcterms:W3CDTF">2019-10-04T16:49:00Z</dcterms:modified>
</cp:coreProperties>
</file>